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2385F" w14:textId="5FFF5550" w:rsidR="00D52DBC" w:rsidRPr="0064259A" w:rsidRDefault="0064259A" w:rsidP="0064259A">
      <w:pPr>
        <w:spacing w:before="240"/>
        <w:jc w:val="right"/>
        <w:rPr>
          <w:rFonts w:ascii="Garamond" w:hAnsi="Garamond"/>
          <w:sz w:val="28"/>
          <w:szCs w:val="28"/>
        </w:rPr>
      </w:pPr>
      <w:r w:rsidRPr="00020B0E">
        <w:rPr>
          <w:rFonts w:ascii="Garamond" w:hAnsi="Garamond"/>
          <w:b/>
          <w:bCs/>
          <w:sz w:val="28"/>
          <w:szCs w:val="28"/>
        </w:rPr>
        <w:t>До:</w:t>
      </w:r>
      <w:r w:rsidR="00020B0E" w:rsidRPr="00020B0E">
        <w:rPr>
          <w:rFonts w:ascii="Garamond" w:hAnsi="Garamond"/>
          <w:b/>
          <w:bCs/>
          <w:sz w:val="28"/>
          <w:szCs w:val="28"/>
        </w:rPr>
        <w:t xml:space="preserve"> </w:t>
      </w:r>
      <w:r w:rsidR="00020B0E">
        <w:rPr>
          <w:rFonts w:ascii="Garamond" w:hAnsi="Garamond"/>
          <w:sz w:val="28"/>
          <w:szCs w:val="28"/>
        </w:rPr>
        <w:t>Политическа партия „Има такъв народ“</w:t>
      </w:r>
    </w:p>
    <w:p w14:paraId="69828AB4" w14:textId="77777777" w:rsidR="0064259A" w:rsidRDefault="0064259A" w:rsidP="0064259A">
      <w:pPr>
        <w:jc w:val="right"/>
        <w:rPr>
          <w:rFonts w:ascii="Garamond" w:hAnsi="Garamond"/>
          <w:sz w:val="28"/>
          <w:szCs w:val="28"/>
        </w:rPr>
      </w:pPr>
    </w:p>
    <w:p w14:paraId="1372B9BE" w14:textId="6601E955" w:rsidR="0064259A" w:rsidRDefault="0064259A" w:rsidP="0064259A">
      <w:pPr>
        <w:jc w:val="center"/>
        <w:rPr>
          <w:rFonts w:ascii="Garamond" w:hAnsi="Garamond"/>
          <w:sz w:val="40"/>
          <w:szCs w:val="40"/>
        </w:rPr>
      </w:pPr>
      <w:r>
        <w:rPr>
          <w:rFonts w:ascii="Garamond" w:hAnsi="Garamond"/>
          <w:sz w:val="40"/>
          <w:szCs w:val="40"/>
        </w:rPr>
        <w:t>П И С М О</w:t>
      </w:r>
    </w:p>
    <w:p w14:paraId="184267C0" w14:textId="528DF51D" w:rsidR="0064259A" w:rsidRDefault="0064259A" w:rsidP="0064259A">
      <w:pPr>
        <w:jc w:val="center"/>
        <w:rPr>
          <w:rFonts w:ascii="Garamond" w:hAnsi="Garamond"/>
          <w:sz w:val="28"/>
          <w:szCs w:val="28"/>
        </w:rPr>
      </w:pPr>
      <w:r>
        <w:rPr>
          <w:rFonts w:ascii="Garamond" w:hAnsi="Garamond"/>
          <w:sz w:val="28"/>
          <w:szCs w:val="28"/>
        </w:rPr>
        <w:t>От Управителния съвет на Национална аптечна браншова организация</w:t>
      </w:r>
    </w:p>
    <w:p w14:paraId="6B7DF49E" w14:textId="77777777" w:rsidR="0064259A" w:rsidRDefault="0064259A" w:rsidP="0064259A">
      <w:pPr>
        <w:jc w:val="center"/>
        <w:rPr>
          <w:rFonts w:ascii="Garamond" w:hAnsi="Garamond"/>
          <w:sz w:val="28"/>
          <w:szCs w:val="28"/>
        </w:rPr>
      </w:pPr>
    </w:p>
    <w:p w14:paraId="16A57D54" w14:textId="265A5017" w:rsidR="0064259A" w:rsidRDefault="0064259A" w:rsidP="0064259A">
      <w:pPr>
        <w:ind w:firstLine="567"/>
        <w:rPr>
          <w:rFonts w:ascii="Garamond" w:hAnsi="Garamond"/>
          <w:sz w:val="28"/>
          <w:szCs w:val="28"/>
        </w:rPr>
      </w:pPr>
      <w:r>
        <w:rPr>
          <w:rFonts w:ascii="Garamond" w:hAnsi="Garamond"/>
          <w:sz w:val="28"/>
          <w:szCs w:val="28"/>
        </w:rPr>
        <w:t>Уважаема</w:t>
      </w:r>
      <w:r w:rsidR="00020B0E">
        <w:rPr>
          <w:rFonts w:ascii="Garamond" w:hAnsi="Garamond"/>
          <w:sz w:val="28"/>
          <w:szCs w:val="28"/>
        </w:rPr>
        <w:t xml:space="preserve"> дами и господа представители на ПП „Има такъв народ“</w:t>
      </w:r>
    </w:p>
    <w:p w14:paraId="6CE386C5" w14:textId="54AB8BB2" w:rsidR="0064259A" w:rsidRDefault="00020B0E" w:rsidP="0064259A">
      <w:pPr>
        <w:ind w:firstLine="567"/>
        <w:rPr>
          <w:rFonts w:ascii="Garamond" w:hAnsi="Garamond"/>
          <w:sz w:val="28"/>
          <w:szCs w:val="28"/>
        </w:rPr>
      </w:pPr>
      <w:r>
        <w:rPr>
          <w:rFonts w:ascii="Garamond" w:hAnsi="Garamond"/>
          <w:sz w:val="28"/>
          <w:szCs w:val="28"/>
        </w:rPr>
        <w:t xml:space="preserve">Изпращаме това писмо във връзка с натрупаните проблеми в аптечната сфера и във връзка с </w:t>
      </w:r>
      <w:r w:rsidRPr="00020B0E">
        <w:rPr>
          <w:rFonts w:ascii="Garamond" w:hAnsi="Garamond"/>
          <w:sz w:val="28"/>
          <w:szCs w:val="28"/>
        </w:rPr>
        <w:t>връзка с постигнато споразумение за промяна на Условия и реда за сключване на индивидуални договори за заплащане на лекарствени продукти по чл. 262, ал. 6, т. 1 от Закона за лекарствените продукти в хуманната медицина, на медицински изделия и на диетични храни за специални медицински цели, заплащани напълно или частично от НЗОК и предложенията на ЗИД на ЗЗО в МЗ и ЗИД на ЗЛПХМ в НС</w:t>
      </w:r>
      <w:r>
        <w:rPr>
          <w:rFonts w:ascii="Garamond" w:hAnsi="Garamond"/>
          <w:sz w:val="28"/>
          <w:szCs w:val="28"/>
        </w:rPr>
        <w:t>.</w:t>
      </w:r>
    </w:p>
    <w:p w14:paraId="57721424"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 xml:space="preserve">Национална аптечна браншова организация (НАБО), чрез свои членове на Управителния съвет, участва в Разширения управителен съвет (РУС) на Български фармацевтичен съюз (БФС) на </w:t>
      </w:r>
      <w:r>
        <w:rPr>
          <w:rFonts w:ascii="Garamond" w:hAnsi="Garamond"/>
          <w:sz w:val="24"/>
          <w:szCs w:val="24"/>
          <w:lang w:val="en-US"/>
        </w:rPr>
        <w:t>05.07.2024</w:t>
      </w:r>
      <w:r>
        <w:rPr>
          <w:rFonts w:ascii="Garamond" w:hAnsi="Garamond"/>
          <w:sz w:val="24"/>
          <w:szCs w:val="24"/>
        </w:rPr>
        <w:t xml:space="preserve"> г. Там изразихме своето притеснение от промяната на правилата за работа и заплащане от НЗОК в средата на договорния период за 2024 г. Добре разбираме доводите за тази промяна, но не може да бъдем съгласни с това. Фармацевтите в групата на НАБО, още преди нашето учредяване, сме давали сигнали към отговорните институции и лица, че промяната на нивото на реимбурсиране за сърдечно-съдовите заболявания е добра за пациентите, но рискова за аптеките от гледна точка на бюджет и финанси. Рискова от гледна точка на преразход, защото приходът в аптеките би следвало да се увеличи, както се и получи в периода април-юни 2024 г. Тук отново нашите притеснения се оказаха правилни, защото разчитахме на добре структуриране икономически и финансов анализ на ситуацията, която показа, че бюджетът на НЗОК ще трябва да влезе в процедура по актуализация в средата на 2024 г. </w:t>
      </w:r>
    </w:p>
    <w:p w14:paraId="4E7B9B7E"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Констатациите от РУС на БФС бяха следните:</w:t>
      </w:r>
    </w:p>
    <w:p w14:paraId="7709189F"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lastRenderedPageBreak/>
        <w:t>1. Броят на пациентите с напълно платени лекарствени продукти е повишен както следва – Януари – 460 хил.; Февруари – 450 хил.; Март – 460 хил.; Април – 920 хил.; Май- 920 хил.;</w:t>
      </w:r>
    </w:p>
    <w:p w14:paraId="33028286"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2. Динамика на броя пациенти с различен брой диагнози (МКБ) – с 1 МКБ от 410 хиляди (Януари) до 550 хиляди (Май); с 2 МКБ – от 40 хиляди (Януари) до 290 хиляди (Май); с 3 МКБ от 2 хиляди (Януари) до 80 хиляди (Май); с 4 МКБ от 107 (Януари) до 14 хиляди (Май); с 5 МКБ от 6 (Януари) до 1572 (Май).</w:t>
      </w:r>
    </w:p>
    <w:p w14:paraId="025624C7"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 xml:space="preserve">3. При рецептите с бонус от 5 лева (без протокол от специалист) 100% реимбурсирани - наблюдаваме </w:t>
      </w:r>
      <w:r>
        <w:rPr>
          <w:rFonts w:ascii="Garamond" w:hAnsi="Garamond"/>
          <w:b/>
          <w:bCs/>
          <w:sz w:val="24"/>
          <w:szCs w:val="24"/>
        </w:rPr>
        <w:t>Януари</w:t>
      </w:r>
      <w:r>
        <w:rPr>
          <w:rFonts w:ascii="Garamond" w:hAnsi="Garamond"/>
          <w:sz w:val="24"/>
          <w:szCs w:val="24"/>
        </w:rPr>
        <w:t xml:space="preserve"> заплатени лекарства 6,6 млн. лв. (от 8,2 млн. лв.), брой отпускания 470 хил., брой пациенти 372 хил., бонус за аптеките 2,3 млн. лв. (% на бонуса от общата стойност 28,8%); </w:t>
      </w:r>
      <w:r>
        <w:rPr>
          <w:rFonts w:ascii="Garamond" w:hAnsi="Garamond"/>
          <w:b/>
          <w:bCs/>
          <w:sz w:val="24"/>
          <w:szCs w:val="24"/>
        </w:rPr>
        <w:t>Февруари</w:t>
      </w:r>
      <w:r>
        <w:rPr>
          <w:rFonts w:ascii="Garamond" w:hAnsi="Garamond"/>
          <w:sz w:val="24"/>
          <w:szCs w:val="24"/>
        </w:rPr>
        <w:t xml:space="preserve"> заплатени 6,3 млн. лв. (от 7,9 млн. лв.), брой отпускания 460 хил., брой пациенти 364 хил., бонус за аптеките 2,3 млн. лв. (% на бонуса от общата стойност 29,0%); </w:t>
      </w:r>
      <w:r>
        <w:rPr>
          <w:rFonts w:ascii="Garamond" w:hAnsi="Garamond"/>
          <w:b/>
          <w:bCs/>
          <w:sz w:val="24"/>
          <w:szCs w:val="24"/>
        </w:rPr>
        <w:t>Март</w:t>
      </w:r>
      <w:r>
        <w:rPr>
          <w:rFonts w:ascii="Garamond" w:hAnsi="Garamond"/>
          <w:sz w:val="24"/>
          <w:szCs w:val="24"/>
        </w:rPr>
        <w:t xml:space="preserve"> заплатени лекарства 6,4 млн. лв. (от 8,0 млн. лв.), брой отпускания 469 хил., брой пациенти 372 хил., бонус за аптеките 2,3 млн. лв. (% на бонуса от общата стойност 29,0%); </w:t>
      </w:r>
      <w:r>
        <w:rPr>
          <w:rFonts w:ascii="Garamond" w:hAnsi="Garamond"/>
          <w:b/>
          <w:bCs/>
          <w:sz w:val="24"/>
          <w:szCs w:val="24"/>
        </w:rPr>
        <w:t xml:space="preserve">Април </w:t>
      </w:r>
      <w:r>
        <w:rPr>
          <w:rFonts w:ascii="Garamond" w:hAnsi="Garamond"/>
          <w:sz w:val="24"/>
          <w:szCs w:val="24"/>
        </w:rPr>
        <w:t xml:space="preserve">заплатени 15,5 млн. лв. (от 25,0 млн. лв.), брой отпускания 1433 хил., брой пациенти 862 хил., бонус за аптеките 7,1 млн. лв. (% на бонуса от общата стойност 28,7%); </w:t>
      </w:r>
      <w:r>
        <w:rPr>
          <w:rFonts w:ascii="Garamond" w:hAnsi="Garamond"/>
          <w:b/>
          <w:bCs/>
          <w:sz w:val="24"/>
          <w:szCs w:val="24"/>
        </w:rPr>
        <w:t>Май</w:t>
      </w:r>
      <w:r>
        <w:rPr>
          <w:rFonts w:ascii="Garamond" w:hAnsi="Garamond"/>
          <w:sz w:val="24"/>
          <w:szCs w:val="24"/>
        </w:rPr>
        <w:t xml:space="preserve"> заплатени 14,4 млн. лв. (от 22,2 млн. лв.), брой отпускания 1462 хил., брой пациенти 865 хил., бонус за аптеките 7,3 млн. лв. (% на бонуса от общата стойност 32,9%).</w:t>
      </w:r>
    </w:p>
    <w:p w14:paraId="3DCD8E74"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 xml:space="preserve">4. При рецептите с бонус от 6 лева (в протокол от специалист) 100% реимбурсирани - наблюдаваме следната динамика – </w:t>
      </w:r>
      <w:r>
        <w:rPr>
          <w:rFonts w:ascii="Garamond" w:hAnsi="Garamond"/>
          <w:b/>
          <w:bCs/>
          <w:sz w:val="24"/>
          <w:szCs w:val="24"/>
        </w:rPr>
        <w:t>Януари</w:t>
      </w:r>
      <w:r>
        <w:rPr>
          <w:rFonts w:ascii="Garamond" w:hAnsi="Garamond"/>
          <w:sz w:val="24"/>
          <w:szCs w:val="24"/>
        </w:rPr>
        <w:t xml:space="preserve"> заплатени лекарства 52,3 млн. лв. (от 52,6 млн. лв.), брой отпускания 163 хил., брой пациенти 136 хил., бонус за аптеките 981 хил. лв. (% на бонуса от общата стойност 1,9%); </w:t>
      </w:r>
      <w:r>
        <w:rPr>
          <w:rFonts w:ascii="Garamond" w:hAnsi="Garamond"/>
          <w:b/>
          <w:bCs/>
          <w:sz w:val="24"/>
          <w:szCs w:val="24"/>
        </w:rPr>
        <w:t>Февруари</w:t>
      </w:r>
      <w:r>
        <w:rPr>
          <w:rFonts w:ascii="Garamond" w:hAnsi="Garamond"/>
          <w:sz w:val="24"/>
          <w:szCs w:val="24"/>
        </w:rPr>
        <w:t xml:space="preserve"> заплатени 49,5 млн. лв. (от 49,8 млн. лв.), брой отпускания 158 хил., брой пациенти 133 хил., бонус за аптеките 950 хил. лв. (% на бонуса от общата стойност 1,9%); </w:t>
      </w:r>
      <w:r>
        <w:rPr>
          <w:rFonts w:ascii="Garamond" w:hAnsi="Garamond"/>
          <w:b/>
          <w:bCs/>
          <w:sz w:val="24"/>
          <w:szCs w:val="24"/>
        </w:rPr>
        <w:t>Март</w:t>
      </w:r>
      <w:r>
        <w:rPr>
          <w:rFonts w:ascii="Garamond" w:hAnsi="Garamond"/>
          <w:sz w:val="24"/>
          <w:szCs w:val="24"/>
        </w:rPr>
        <w:t xml:space="preserve"> заплатени лекарства 51,2 млн. лв. (от 51,5 млн. лв.), брой отпускания 162 хил., брой пациенти 135 хил., бонус за аптеките 972 хил. лв. (% на бонуса от общата стойност 1,9%); </w:t>
      </w:r>
      <w:r>
        <w:rPr>
          <w:rFonts w:ascii="Garamond" w:hAnsi="Garamond"/>
          <w:b/>
          <w:bCs/>
          <w:sz w:val="24"/>
          <w:szCs w:val="24"/>
        </w:rPr>
        <w:t>Април</w:t>
      </w:r>
      <w:r>
        <w:rPr>
          <w:rFonts w:ascii="Garamond" w:hAnsi="Garamond"/>
          <w:sz w:val="24"/>
          <w:szCs w:val="24"/>
        </w:rPr>
        <w:t xml:space="preserve"> заплатени 50,8 млн. лв. (от 51,1 млн. лв.), брой отпускания 165 хил., брой пациенти 137 хил., бонус за аптеките 988 хил. лв. (% на бонуса от общата стойност 1,9%); </w:t>
      </w:r>
      <w:r>
        <w:rPr>
          <w:rFonts w:ascii="Garamond" w:hAnsi="Garamond"/>
          <w:b/>
          <w:bCs/>
          <w:sz w:val="24"/>
          <w:szCs w:val="24"/>
        </w:rPr>
        <w:t>Май</w:t>
      </w:r>
      <w:r>
        <w:rPr>
          <w:rFonts w:ascii="Garamond" w:hAnsi="Garamond"/>
          <w:sz w:val="24"/>
          <w:szCs w:val="24"/>
        </w:rPr>
        <w:t xml:space="preserve"> заплатени 51,4 млн. лв. (от </w:t>
      </w:r>
      <w:r>
        <w:rPr>
          <w:rFonts w:ascii="Garamond" w:hAnsi="Garamond"/>
          <w:sz w:val="24"/>
          <w:szCs w:val="24"/>
        </w:rPr>
        <w:lastRenderedPageBreak/>
        <w:t>51,7 млн. лв.), брой отпускания 165 хил., брой пациенти 137 хил., бонус за аптеките 993 хил. лв. (% на бонуса от общата стойност 1,9%).</w:t>
      </w:r>
    </w:p>
    <w:p w14:paraId="11DEDFC6"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 xml:space="preserve">5. Средноаритметично изчисление на прихода в аптеките при дисперсионно разпределение на отпусканите рецепти. </w:t>
      </w:r>
      <w:r>
        <w:rPr>
          <w:rFonts w:ascii="Garamond" w:hAnsi="Garamond"/>
          <w:b/>
          <w:bCs/>
          <w:sz w:val="24"/>
          <w:szCs w:val="24"/>
        </w:rPr>
        <w:t>Януари</w:t>
      </w:r>
      <w:r>
        <w:rPr>
          <w:rFonts w:ascii="Garamond" w:hAnsi="Garamond"/>
          <w:sz w:val="24"/>
          <w:szCs w:val="24"/>
        </w:rPr>
        <w:t xml:space="preserve"> заплатени лекарства 58,9 млн. лв. (от 60,8 млн. лв.), бонус за аптеките 3 335 хил. лв. (% на бонуса от общата стойност 5,5 %); </w:t>
      </w:r>
      <w:r>
        <w:rPr>
          <w:rFonts w:ascii="Garamond" w:hAnsi="Garamond"/>
          <w:b/>
          <w:bCs/>
          <w:sz w:val="24"/>
          <w:szCs w:val="24"/>
        </w:rPr>
        <w:t>Февруари</w:t>
      </w:r>
      <w:r>
        <w:rPr>
          <w:rFonts w:ascii="Garamond" w:hAnsi="Garamond"/>
          <w:sz w:val="24"/>
          <w:szCs w:val="24"/>
        </w:rPr>
        <w:t xml:space="preserve"> заплатени 55,8 млн. лв. (от 57,7 млн. лв.), бонус за аптеките 3 242 хил. лв. (% на бонуса от общата стойност 5,6 %); </w:t>
      </w:r>
      <w:r>
        <w:rPr>
          <w:rFonts w:ascii="Garamond" w:hAnsi="Garamond"/>
          <w:b/>
          <w:bCs/>
          <w:sz w:val="24"/>
          <w:szCs w:val="24"/>
        </w:rPr>
        <w:t>Март</w:t>
      </w:r>
      <w:r>
        <w:rPr>
          <w:rFonts w:ascii="Garamond" w:hAnsi="Garamond"/>
          <w:sz w:val="24"/>
          <w:szCs w:val="24"/>
        </w:rPr>
        <w:t xml:space="preserve"> заплатени лекарства 57,6 млн. лв. (от 59,6 млн. лв.), бонус за аптеките 3 321 хил. лв. (% на бонуса от общата стойност 5,6%); </w:t>
      </w:r>
      <w:r>
        <w:rPr>
          <w:rFonts w:ascii="Garamond" w:hAnsi="Garamond"/>
          <w:b/>
          <w:bCs/>
          <w:sz w:val="24"/>
          <w:szCs w:val="24"/>
        </w:rPr>
        <w:t>Април</w:t>
      </w:r>
      <w:r>
        <w:rPr>
          <w:rFonts w:ascii="Garamond" w:hAnsi="Garamond"/>
          <w:sz w:val="24"/>
          <w:szCs w:val="24"/>
        </w:rPr>
        <w:t xml:space="preserve"> заплатени 66,3 млн. лв. (от 76,1 млн. лв.), бонус за аптеките 8 155 хил. лв. (% на бонуса от общата стойност 10,7%); </w:t>
      </w:r>
      <w:r>
        <w:rPr>
          <w:rFonts w:ascii="Garamond" w:hAnsi="Garamond"/>
          <w:b/>
          <w:bCs/>
          <w:sz w:val="24"/>
          <w:szCs w:val="24"/>
        </w:rPr>
        <w:t>Май</w:t>
      </w:r>
      <w:r>
        <w:rPr>
          <w:rFonts w:ascii="Garamond" w:hAnsi="Garamond"/>
          <w:sz w:val="24"/>
          <w:szCs w:val="24"/>
        </w:rPr>
        <w:t xml:space="preserve"> заплатени 65,7 млн. лв. (от 73,9 млн. лв.), бонус за аптеките 8 302 хил. лв. (% на бонуса от общата стойност 11,2%).</w:t>
      </w:r>
    </w:p>
    <w:p w14:paraId="2E3B5B10"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Обобщените констатации са следните: Аптеките работят с постоянен бонус от около 29% по рецептите без протокол (при разход на НЗОК повишен от 8 млн. лв. до 25 млн. лв.); Аптеките работят с бонус под 2% по рецепти с протокол (при разход на НЗОК около 50 млн. лв.); Средноаритметичния приход към аптеките е повишен от 5,6 до 11,2% или 2 пъти</w:t>
      </w:r>
      <w:r>
        <w:rPr>
          <w:rFonts w:ascii="Garamond" w:hAnsi="Garamond"/>
          <w:sz w:val="24"/>
          <w:szCs w:val="24"/>
          <w:lang w:val="en-US"/>
        </w:rPr>
        <w:t xml:space="preserve">, </w:t>
      </w:r>
      <w:r>
        <w:rPr>
          <w:rFonts w:ascii="Garamond" w:hAnsi="Garamond"/>
          <w:sz w:val="24"/>
          <w:szCs w:val="24"/>
        </w:rPr>
        <w:t>за сметка на загубени надбавки по рецепти на „пренесени“ пациенти от „свободна продажба“ с бяла рецепта към рецепта по НЗОК в размер на 3,2 млн. лева. С промяната на МКБ на пациентите и добавянето на нови МКБ на съществуващи пациенти, за да може пациентите да влязат в новите критерии за 100% реимбурсация, има и преминаване на пациенти с частично реимбурсирани ЛП към такива със 100% реимбурсация, което генерира допълнителна загуба в този сегмент от около 0,9 млн. лева за аптеките. Пациентите ползващи 100% реимбурсирани лекарства по НЗОК са се увеличили 2 пъти; При увеличение от около 4,9 млн. лв. на бонусите за рецепти без протокол, пропуснатите ползи от надценки са в размер на 4,1 млн. лв. (13-15%, което напълно съвпада с анализ в НАБО предоставен на институциите в писмо с изх.номер 4/03.07.2024); Вътрешен анализ на НАБО показва, че в периода април-юни 2024 г. разходите в аптеката в следствие на увеличената работа по НЗОК са се увеличили с 21%. Тази работа вече не може да бъде компенсирана от „Свободна продажба“ поради факта, че пациентите са изместени към рецепти по НЗОК; Диагнозите, които се лекуват по НЗОК са се увеличили от 20% до 30 000%.</w:t>
      </w:r>
    </w:p>
    <w:p w14:paraId="36214E21"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lastRenderedPageBreak/>
        <w:t xml:space="preserve">В моментната снимка на икономическото състояние на аптеките и разходите на НЗОК, по данни на НАБО и </w:t>
      </w:r>
      <w:r w:rsidRPr="00773EBC">
        <w:rPr>
          <w:rFonts w:ascii="Garamond" w:hAnsi="Garamond"/>
          <w:sz w:val="24"/>
          <w:szCs w:val="24"/>
        </w:rPr>
        <w:t xml:space="preserve">данни на </w:t>
      </w:r>
      <w:r>
        <w:rPr>
          <w:rFonts w:ascii="Garamond" w:hAnsi="Garamond"/>
          <w:sz w:val="24"/>
          <w:szCs w:val="24"/>
        </w:rPr>
        <w:t>НЗОК предоставени на БФС, се вижда абсолютно припокриване на достигнатите резултати. Така констатацията, че след 1-ви април аптеките са във финансов дефицит от 5-7% е достоверна и доказуема с наличните данни.</w:t>
      </w:r>
    </w:p>
    <w:p w14:paraId="36BF0F3F"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Това е особено обезпокоително на фона на новите договорени условия за връщане на модела на надценките с така наречения фиксиран бонус като % от продажната сума само на част от лекарствата. При него вече е отнета надценката на една голяма част от лекарствата, а нови 17 млн. лева се отпускат без надбавка с такса, която покрива с дефицит от 5-7% разходите на аптеките. Стойността на тази надбавка е около 11,2% (осреднено), а трябва да е поне 18%. При договорен бонус от 15% върху стойността на отпуснатите лекарства, това ни връща в положение на приходи на аптеката от преди 1-ви март 2024 г., но без таксата бонус за обслужване, или 11,2%, които трябва да нараснат на 18%, ще паднат на 4,1%!</w:t>
      </w:r>
    </w:p>
    <w:p w14:paraId="5AB8B3C2"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Затова и.д. Управител на НЗОК в свое интервю по Нова Нюз твърди, че спестява 25 млн. лева. Ние твърдим, че те не са спестени, а чрез позицията на силата просто няма да бъдат заплатени справедливо за честния труд на магистър-фармацевтите и усилията на аптеките за доставката, съхранението и логистиката на лекарството по цялата верига.</w:t>
      </w:r>
    </w:p>
    <w:p w14:paraId="7AD50B70"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Ние, представителите на НАБО останахме с впечатление, че преговорната група между БФС и НЗОК ще договаря подобряване на условията за аптеките, чрез компромис в едното перо за сметка на другото, за което очаквахме повишаване на бонуса от 1,9% до едно приемливо ниво от 8-12%.</w:t>
      </w:r>
    </w:p>
    <w:p w14:paraId="5A24D274"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Междувременно излезе проект на ЗИД на ЗЗО, който отново драстично ограничава надбавките и бонусите за аптеки. Без да влизаме в детайли (за което ще подготвим специално становище), имаме усещането за бавно и методично умъртвяване на микро и малкия бизнес в областта на търговията на дребно с лекарствени продукти.</w:t>
      </w:r>
    </w:p>
    <w:p w14:paraId="51AA9544"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 xml:space="preserve">След дискусия в общото събрание на НАБО, считаме че моделът на надценки е несправедлив и създаващ нездравословна конкуренция, освен ако не се приложи в пълен обем по </w:t>
      </w:r>
      <w:r>
        <w:rPr>
          <w:rFonts w:ascii="Garamond" w:hAnsi="Garamond"/>
          <w:sz w:val="24"/>
          <w:szCs w:val="24"/>
        </w:rPr>
        <w:lastRenderedPageBreak/>
        <w:t>Наредба 4 от 2009г. при фиксиране на крайната цена към максимално допустимите рамки, за всички продукти, без ограничение, и с тенденция за повишаване лимита на максималната надценка от 25 на 50 лева за скъпоструващите.</w:t>
      </w:r>
    </w:p>
    <w:p w14:paraId="182D257A"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С свои писма до НЗОК, МЗ и други институции сме писали, а и тук припомняме за пореден път, че е необходимо увеличаване на таксите в досегашния модел от 5 на 10 лева за лекарства на стойност до 200 лева, 30 лева за лекарства до 1000 лева и 50 лева за скъпоструващи лекарства. Като работодателска организация твърдим, че тези средства освен високоспециализиран труд трябва да покрият и множество други разходи по доставка, съхранение и отпускане на лекарства</w:t>
      </w:r>
      <w:r>
        <w:rPr>
          <w:rFonts w:ascii="Garamond" w:hAnsi="Garamond"/>
          <w:sz w:val="24"/>
          <w:szCs w:val="24"/>
          <w:lang w:val="en-US"/>
        </w:rPr>
        <w:t xml:space="preserve">, </w:t>
      </w:r>
      <w:r>
        <w:rPr>
          <w:rFonts w:ascii="Garamond" w:hAnsi="Garamond"/>
          <w:sz w:val="24"/>
          <w:szCs w:val="24"/>
        </w:rPr>
        <w:t>банкови трансфери на пари за скъпоструващи, висок икономически риск от работата с подобни лекарствени продукти.</w:t>
      </w:r>
    </w:p>
    <w:p w14:paraId="17036FA5"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Притеснени сме също и от повторното входиране в деловодството на Народното събрание на проект на ЗЛПХМ за въвеждане на т.нар. вендинг автомати за лекарства. Фармацевтичната общност ясно аргументира защо това не трябва да се случва. Учудени сме, че при въведен, през януари 2024 г., регламент за стимулиране на отварянето на аптеки, в неатрактивни от икономически гледна точка места, отново се предлага тази дейност да се покрива от машини.</w:t>
      </w:r>
    </w:p>
    <w:p w14:paraId="79DEDADD"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Това е още едно доказателство, още едно парче от пъзела, за системното умъртвяване на микро и малкия бизнес в аптечното дело.</w:t>
      </w:r>
    </w:p>
    <w:p w14:paraId="757F4CE3" w14:textId="77777777" w:rsidR="00020B0E" w:rsidRDefault="00020B0E" w:rsidP="00020B0E">
      <w:pPr>
        <w:spacing w:line="360" w:lineRule="auto"/>
        <w:ind w:firstLine="567"/>
        <w:jc w:val="both"/>
        <w:rPr>
          <w:rFonts w:ascii="Garamond" w:hAnsi="Garamond"/>
          <w:sz w:val="24"/>
          <w:szCs w:val="24"/>
        </w:rPr>
      </w:pPr>
      <w:r>
        <w:rPr>
          <w:rFonts w:ascii="Garamond" w:hAnsi="Garamond"/>
          <w:sz w:val="24"/>
          <w:szCs w:val="24"/>
        </w:rPr>
        <w:t>Вече е време за една ясна и открита дискусия на тема финансиране на аптеките и фармацевтичните дейности като елемент от националната сигурност на страната.</w:t>
      </w:r>
    </w:p>
    <w:p w14:paraId="2BA937CC" w14:textId="77777777" w:rsidR="00020B0E" w:rsidRDefault="00020B0E" w:rsidP="0064259A">
      <w:pPr>
        <w:ind w:firstLine="567"/>
        <w:rPr>
          <w:rFonts w:ascii="Garamond" w:hAnsi="Garamond"/>
          <w:sz w:val="28"/>
          <w:szCs w:val="28"/>
        </w:rPr>
      </w:pPr>
    </w:p>
    <w:p w14:paraId="3A26B2BF" w14:textId="77777777" w:rsidR="0064259A" w:rsidRDefault="0064259A" w:rsidP="0064259A">
      <w:pPr>
        <w:ind w:firstLine="567"/>
        <w:rPr>
          <w:rFonts w:ascii="Garamond" w:hAnsi="Garamond"/>
          <w:sz w:val="28"/>
          <w:szCs w:val="28"/>
        </w:rPr>
      </w:pPr>
    </w:p>
    <w:p w14:paraId="29BCF02C" w14:textId="6F4DA6B2" w:rsidR="0064259A" w:rsidRDefault="0064259A" w:rsidP="0064259A">
      <w:pPr>
        <w:ind w:firstLine="567"/>
        <w:rPr>
          <w:rFonts w:ascii="Garamond" w:hAnsi="Garamond"/>
          <w:sz w:val="28"/>
          <w:szCs w:val="28"/>
        </w:rPr>
      </w:pPr>
      <w:r>
        <w:rPr>
          <w:rFonts w:ascii="Garamond" w:hAnsi="Garamond"/>
          <w:sz w:val="28"/>
          <w:szCs w:val="28"/>
        </w:rPr>
        <w:t>Гр. София</w:t>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t>С уважение:</w:t>
      </w:r>
    </w:p>
    <w:p w14:paraId="4982E084" w14:textId="0CF428E6" w:rsidR="0064259A" w:rsidRDefault="0064259A" w:rsidP="0064259A">
      <w:pPr>
        <w:ind w:firstLine="567"/>
        <w:rPr>
          <w:rFonts w:ascii="Garamond" w:hAnsi="Garamond"/>
          <w:sz w:val="28"/>
          <w:szCs w:val="28"/>
        </w:rPr>
      </w:pPr>
      <w:r>
        <w:rPr>
          <w:rFonts w:ascii="Garamond" w:hAnsi="Garamond"/>
          <w:sz w:val="28"/>
          <w:szCs w:val="28"/>
        </w:rPr>
        <w:t xml:space="preserve">Дата: </w:t>
      </w:r>
      <w:sdt>
        <w:sdtPr>
          <w:rPr>
            <w:rFonts w:ascii="Garamond" w:hAnsi="Garamond"/>
            <w:sz w:val="28"/>
            <w:szCs w:val="28"/>
          </w:rPr>
          <w:id w:val="-1305852387"/>
          <w:placeholder>
            <w:docPart w:val="DefaultPlaceholder_-1854013437"/>
          </w:placeholder>
          <w:date w:fullDate="2024-07-31T00:00:00Z">
            <w:dateFormat w:val="d.M.yyyy 'г.'"/>
            <w:lid w:val="bg-BG"/>
            <w:storeMappedDataAs w:val="dateTime"/>
            <w:calendar w:val="gregorian"/>
          </w:date>
        </w:sdtPr>
        <w:sdtContent>
          <w:r w:rsidR="00020B0E">
            <w:rPr>
              <w:rFonts w:ascii="Garamond" w:hAnsi="Garamond"/>
              <w:sz w:val="28"/>
              <w:szCs w:val="28"/>
            </w:rPr>
            <w:t>31.7.2024 г.</w:t>
          </w:r>
        </w:sdtContent>
      </w:sdt>
      <w:r>
        <w:rPr>
          <w:rFonts w:ascii="Garamond" w:hAnsi="Garamond"/>
          <w:sz w:val="28"/>
          <w:szCs w:val="28"/>
        </w:rPr>
        <w:tab/>
      </w:r>
      <w:r>
        <w:rPr>
          <w:rFonts w:ascii="Garamond" w:hAnsi="Garamond"/>
          <w:sz w:val="28"/>
          <w:szCs w:val="28"/>
        </w:rPr>
        <w:tab/>
      </w:r>
      <w:r w:rsidR="00020B0E">
        <w:rPr>
          <w:rFonts w:ascii="Garamond" w:hAnsi="Garamond"/>
          <w:sz w:val="28"/>
          <w:szCs w:val="28"/>
        </w:rPr>
        <w:tab/>
        <w:t>/маг.фарм. Константин Георгиев Качулев/</w:t>
      </w:r>
    </w:p>
    <w:p w14:paraId="0380303C" w14:textId="5CDC9CCA" w:rsidR="00020B0E" w:rsidRPr="0064259A" w:rsidRDefault="00020B0E" w:rsidP="00020B0E">
      <w:pPr>
        <w:ind w:left="708" w:firstLine="708"/>
        <w:rPr>
          <w:rFonts w:ascii="Garamond" w:hAnsi="Garamond"/>
          <w:sz w:val="28"/>
          <w:szCs w:val="28"/>
        </w:rPr>
      </w:pPr>
      <w:r>
        <w:rPr>
          <w:rFonts w:ascii="Garamond" w:hAnsi="Garamond"/>
          <w:sz w:val="28"/>
          <w:szCs w:val="28"/>
        </w:rPr>
        <w:t>/Председател на УС на Национална аптечна браншова организация/</w:t>
      </w:r>
    </w:p>
    <w:sectPr w:rsidR="00020B0E" w:rsidRPr="0064259A" w:rsidSect="00886CBF">
      <w:headerReference w:type="default" r:id="rId7"/>
      <w:footerReference w:type="default" r:id="rId8"/>
      <w:pgSz w:w="11906" w:h="16838"/>
      <w:pgMar w:top="4111" w:right="849"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BB8911" w14:textId="77777777" w:rsidR="00881C36" w:rsidRDefault="00881C36" w:rsidP="00631FCF">
      <w:pPr>
        <w:spacing w:after="0" w:line="240" w:lineRule="auto"/>
      </w:pPr>
      <w:r>
        <w:separator/>
      </w:r>
    </w:p>
  </w:endnote>
  <w:endnote w:type="continuationSeparator" w:id="0">
    <w:p w14:paraId="13308059" w14:textId="77777777" w:rsidR="00881C36" w:rsidRDefault="00881C36" w:rsidP="00631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6946247"/>
      <w:docPartObj>
        <w:docPartGallery w:val="Page Numbers (Bottom of Page)"/>
        <w:docPartUnique/>
      </w:docPartObj>
    </w:sdtPr>
    <w:sdtEndPr>
      <w:rPr>
        <w:rFonts w:ascii="Garamond" w:hAnsi="Garamond"/>
      </w:rPr>
    </w:sdtEndPr>
    <w:sdtContent>
      <w:sdt>
        <w:sdtPr>
          <w:id w:val="-1769616900"/>
          <w:docPartObj>
            <w:docPartGallery w:val="Page Numbers (Top of Page)"/>
            <w:docPartUnique/>
          </w:docPartObj>
        </w:sdtPr>
        <w:sdtEndPr>
          <w:rPr>
            <w:rFonts w:ascii="Garamond" w:hAnsi="Garamond"/>
          </w:rPr>
        </w:sdtEndPr>
        <w:sdtContent>
          <w:p w14:paraId="5237C0FD" w14:textId="7FDDC2B5" w:rsidR="00366214" w:rsidRPr="00400989" w:rsidRDefault="00366214">
            <w:pPr>
              <w:pStyle w:val="Footer"/>
              <w:jc w:val="right"/>
              <w:rPr>
                <w:rFonts w:ascii="Garamond" w:hAnsi="Garamond"/>
              </w:rPr>
            </w:pPr>
            <w:r w:rsidRPr="00400989">
              <w:rPr>
                <w:rFonts w:ascii="Garamond" w:hAnsi="Garamond"/>
              </w:rPr>
              <w:t xml:space="preserve">Страница </w:t>
            </w:r>
            <w:r w:rsidRPr="00400989">
              <w:rPr>
                <w:rFonts w:ascii="Garamond" w:hAnsi="Garamond"/>
                <w:b/>
                <w:bCs/>
                <w:sz w:val="24"/>
                <w:szCs w:val="24"/>
              </w:rPr>
              <w:fldChar w:fldCharType="begin"/>
            </w:r>
            <w:r w:rsidRPr="00400989">
              <w:rPr>
                <w:rFonts w:ascii="Garamond" w:hAnsi="Garamond"/>
                <w:b/>
                <w:bCs/>
              </w:rPr>
              <w:instrText>PAGE</w:instrText>
            </w:r>
            <w:r w:rsidRPr="00400989">
              <w:rPr>
                <w:rFonts w:ascii="Garamond" w:hAnsi="Garamond"/>
                <w:b/>
                <w:bCs/>
                <w:sz w:val="24"/>
                <w:szCs w:val="24"/>
              </w:rPr>
              <w:fldChar w:fldCharType="separate"/>
            </w:r>
            <w:r w:rsidRPr="00400989">
              <w:rPr>
                <w:rFonts w:ascii="Garamond" w:hAnsi="Garamond"/>
                <w:b/>
                <w:bCs/>
              </w:rPr>
              <w:t>2</w:t>
            </w:r>
            <w:r w:rsidRPr="00400989">
              <w:rPr>
                <w:rFonts w:ascii="Garamond" w:hAnsi="Garamond"/>
                <w:b/>
                <w:bCs/>
                <w:sz w:val="24"/>
                <w:szCs w:val="24"/>
              </w:rPr>
              <w:fldChar w:fldCharType="end"/>
            </w:r>
            <w:r w:rsidRPr="00400989">
              <w:rPr>
                <w:rFonts w:ascii="Garamond" w:hAnsi="Garamond"/>
              </w:rPr>
              <w:t xml:space="preserve"> от </w:t>
            </w:r>
            <w:r w:rsidRPr="00400989">
              <w:rPr>
                <w:rFonts w:ascii="Garamond" w:hAnsi="Garamond"/>
                <w:b/>
                <w:bCs/>
                <w:sz w:val="24"/>
                <w:szCs w:val="24"/>
              </w:rPr>
              <w:fldChar w:fldCharType="begin"/>
            </w:r>
            <w:r w:rsidRPr="00400989">
              <w:rPr>
                <w:rFonts w:ascii="Garamond" w:hAnsi="Garamond"/>
                <w:b/>
                <w:bCs/>
              </w:rPr>
              <w:instrText>NUMPAGES</w:instrText>
            </w:r>
            <w:r w:rsidRPr="00400989">
              <w:rPr>
                <w:rFonts w:ascii="Garamond" w:hAnsi="Garamond"/>
                <w:b/>
                <w:bCs/>
                <w:sz w:val="24"/>
                <w:szCs w:val="24"/>
              </w:rPr>
              <w:fldChar w:fldCharType="separate"/>
            </w:r>
            <w:r w:rsidRPr="00400989">
              <w:rPr>
                <w:rFonts w:ascii="Garamond" w:hAnsi="Garamond"/>
                <w:b/>
                <w:bCs/>
              </w:rPr>
              <w:t>2</w:t>
            </w:r>
            <w:r w:rsidRPr="00400989">
              <w:rPr>
                <w:rFonts w:ascii="Garamond" w:hAnsi="Garamond"/>
                <w:b/>
                <w:bCs/>
                <w:sz w:val="24"/>
                <w:szCs w:val="24"/>
              </w:rPr>
              <w:fldChar w:fldCharType="end"/>
            </w:r>
          </w:p>
        </w:sdtContent>
      </w:sdt>
    </w:sdtContent>
  </w:sdt>
  <w:p w14:paraId="6FFF0147" w14:textId="6C113869" w:rsidR="00D52DBC" w:rsidRPr="00400989" w:rsidRDefault="00D52DBC">
    <w:pPr>
      <w:pStyle w:val="Footer"/>
      <w:rPr>
        <w:rFonts w:ascii="Garamond" w:hAnsi="Garamond"/>
      </w:rPr>
    </w:pPr>
    <w:r w:rsidRPr="00400989">
      <w:rPr>
        <w:rFonts w:ascii="Garamond" w:hAnsi="Garamond"/>
      </w:rPr>
      <w:t>Ф-00</w:t>
    </w:r>
    <w:r w:rsidR="00DD3F1D">
      <w:rPr>
        <w:rFonts w:ascii="Garamond" w:hAnsi="Garamond"/>
      </w:rPr>
      <w:t>3</w:t>
    </w:r>
    <w:r w:rsidR="0053753A">
      <w:rPr>
        <w:rFonts w:ascii="Garamond" w:hAnsi="Garamond"/>
      </w:rPr>
      <w:t>-002</w:t>
    </w:r>
  </w:p>
  <w:p w14:paraId="56F9FAD9" w14:textId="18BB9991" w:rsidR="00366214" w:rsidRPr="00400989" w:rsidRDefault="00D52DBC">
    <w:pPr>
      <w:pStyle w:val="Footer"/>
      <w:rPr>
        <w:rFonts w:ascii="Garamond" w:hAnsi="Garamond"/>
      </w:rPr>
    </w:pPr>
    <w:r w:rsidRPr="00400989">
      <w:rPr>
        <w:rFonts w:ascii="Garamond" w:hAnsi="Garamond"/>
      </w:rPr>
      <w:t>„Национална аптечна браншова организация“ ЕИК 207862742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4602CA" w14:textId="77777777" w:rsidR="00881C36" w:rsidRDefault="00881C36" w:rsidP="00631FCF">
      <w:pPr>
        <w:spacing w:after="0" w:line="240" w:lineRule="auto"/>
      </w:pPr>
      <w:r>
        <w:separator/>
      </w:r>
    </w:p>
  </w:footnote>
  <w:footnote w:type="continuationSeparator" w:id="0">
    <w:p w14:paraId="00DBEE14" w14:textId="77777777" w:rsidR="00881C36" w:rsidRDefault="00881C36" w:rsidP="00631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0"/>
      <w:gridCol w:w="3210"/>
    </w:tblGrid>
    <w:tr w:rsidR="0053753A" w14:paraId="117CB350" w14:textId="77777777" w:rsidTr="0053753A">
      <w:tc>
        <w:tcPr>
          <w:tcW w:w="3210" w:type="dxa"/>
        </w:tcPr>
        <w:p w14:paraId="0E5C9E05" w14:textId="77777777" w:rsidR="0053753A" w:rsidRDefault="0053753A" w:rsidP="0053753A">
          <w:pPr>
            <w:pStyle w:val="Header"/>
            <w:tabs>
              <w:tab w:val="clear" w:pos="9072"/>
              <w:tab w:val="right" w:pos="9639"/>
            </w:tabs>
            <w:ind w:right="1"/>
            <w:rPr>
              <w:rFonts w:ascii="Garamond" w:hAnsi="Garamond"/>
              <w:b/>
              <w:bCs/>
              <w:i/>
              <w:iCs/>
              <w:sz w:val="28"/>
              <w:szCs w:val="28"/>
            </w:rPr>
          </w:pPr>
        </w:p>
        <w:p w14:paraId="7614D34E" w14:textId="77777777" w:rsidR="0053753A" w:rsidRDefault="0053753A" w:rsidP="0053753A">
          <w:pPr>
            <w:pStyle w:val="Header"/>
            <w:tabs>
              <w:tab w:val="clear" w:pos="9072"/>
              <w:tab w:val="right" w:pos="9639"/>
            </w:tabs>
            <w:ind w:right="1"/>
            <w:rPr>
              <w:rFonts w:ascii="Garamond" w:hAnsi="Garamond"/>
              <w:b/>
              <w:bCs/>
              <w:i/>
              <w:iCs/>
              <w:sz w:val="28"/>
              <w:szCs w:val="28"/>
            </w:rPr>
          </w:pPr>
        </w:p>
        <w:p w14:paraId="03AFF435" w14:textId="1226D061" w:rsidR="0053753A" w:rsidRPr="0053753A" w:rsidRDefault="0053753A" w:rsidP="0053753A">
          <w:pPr>
            <w:pStyle w:val="Header"/>
            <w:tabs>
              <w:tab w:val="clear" w:pos="9072"/>
              <w:tab w:val="right" w:pos="9639"/>
            </w:tabs>
            <w:ind w:right="1"/>
            <w:rPr>
              <w:rFonts w:ascii="Garamond" w:hAnsi="Garamond"/>
            </w:rPr>
          </w:pPr>
          <w:r w:rsidRPr="0064259A">
            <w:rPr>
              <w:rFonts w:ascii="Garamond" w:hAnsi="Garamond"/>
              <w:b/>
              <w:bCs/>
              <w:i/>
              <w:iCs/>
              <w:sz w:val="28"/>
              <w:szCs w:val="28"/>
            </w:rPr>
            <w:t>Н</w:t>
          </w:r>
          <w:r w:rsidRPr="0064259A">
            <w:rPr>
              <w:rFonts w:ascii="Garamond" w:hAnsi="Garamond"/>
              <w:b/>
              <w:bCs/>
              <w:i/>
              <w:iCs/>
            </w:rPr>
            <w:t>АЦИОНАЛНА</w:t>
          </w:r>
        </w:p>
        <w:p w14:paraId="103856D2" w14:textId="77777777" w:rsidR="0053753A" w:rsidRPr="0064259A" w:rsidRDefault="0053753A" w:rsidP="0053753A">
          <w:pPr>
            <w:pStyle w:val="Header"/>
            <w:rPr>
              <w:rFonts w:ascii="Garamond" w:hAnsi="Garamond"/>
              <w:b/>
              <w:bCs/>
              <w:i/>
              <w:iCs/>
            </w:rPr>
          </w:pPr>
          <w:r w:rsidRPr="0064259A">
            <w:rPr>
              <w:rFonts w:ascii="Garamond" w:hAnsi="Garamond"/>
              <w:b/>
              <w:bCs/>
              <w:i/>
              <w:iCs/>
              <w:sz w:val="28"/>
              <w:szCs w:val="28"/>
            </w:rPr>
            <w:t>А</w:t>
          </w:r>
          <w:r w:rsidRPr="0064259A">
            <w:rPr>
              <w:rFonts w:ascii="Garamond" w:hAnsi="Garamond"/>
              <w:b/>
              <w:bCs/>
              <w:i/>
              <w:iCs/>
            </w:rPr>
            <w:t>ПТЕЧНА</w:t>
          </w:r>
        </w:p>
        <w:p w14:paraId="5C67674A" w14:textId="77777777" w:rsidR="0053753A" w:rsidRPr="0064259A" w:rsidRDefault="0053753A" w:rsidP="0053753A">
          <w:pPr>
            <w:pStyle w:val="Header"/>
            <w:tabs>
              <w:tab w:val="clear" w:pos="9072"/>
              <w:tab w:val="right" w:pos="9639"/>
            </w:tabs>
            <w:rPr>
              <w:rFonts w:ascii="Garamond" w:hAnsi="Garamond"/>
            </w:rPr>
          </w:pPr>
          <w:r w:rsidRPr="0064259A">
            <w:rPr>
              <w:rFonts w:ascii="Garamond" w:hAnsi="Garamond"/>
              <w:b/>
              <w:bCs/>
              <w:i/>
              <w:iCs/>
              <w:sz w:val="28"/>
              <w:szCs w:val="28"/>
            </w:rPr>
            <w:t>Б</w:t>
          </w:r>
          <w:r w:rsidRPr="0064259A">
            <w:rPr>
              <w:rFonts w:ascii="Garamond" w:hAnsi="Garamond"/>
              <w:b/>
              <w:bCs/>
              <w:i/>
              <w:iCs/>
            </w:rPr>
            <w:t>РАНШОВА</w:t>
          </w:r>
        </w:p>
        <w:p w14:paraId="05F27A26" w14:textId="77777777" w:rsidR="0053753A" w:rsidRPr="0064259A" w:rsidRDefault="0053753A" w:rsidP="0053753A">
          <w:pPr>
            <w:pStyle w:val="Header"/>
            <w:rPr>
              <w:rFonts w:ascii="Garamond" w:hAnsi="Garamond"/>
              <w:b/>
              <w:bCs/>
              <w:i/>
              <w:iCs/>
            </w:rPr>
          </w:pPr>
          <w:r w:rsidRPr="0064259A">
            <w:rPr>
              <w:rFonts w:ascii="Garamond" w:hAnsi="Garamond"/>
              <w:b/>
              <w:bCs/>
              <w:i/>
              <w:iCs/>
              <w:sz w:val="28"/>
              <w:szCs w:val="28"/>
            </w:rPr>
            <w:t>О</w:t>
          </w:r>
          <w:r w:rsidRPr="0064259A">
            <w:rPr>
              <w:rFonts w:ascii="Garamond" w:hAnsi="Garamond"/>
              <w:b/>
              <w:bCs/>
              <w:i/>
              <w:iCs/>
            </w:rPr>
            <w:t>РГАНИЗАЦИЯ</w:t>
          </w:r>
        </w:p>
        <w:p w14:paraId="2FD1C755" w14:textId="77777777" w:rsidR="0053753A" w:rsidRDefault="0053753A" w:rsidP="0064259A">
          <w:pPr>
            <w:pStyle w:val="Header"/>
            <w:tabs>
              <w:tab w:val="clear" w:pos="9072"/>
              <w:tab w:val="right" w:pos="9639"/>
            </w:tabs>
            <w:ind w:right="1"/>
            <w:rPr>
              <w:rFonts w:ascii="Garamond" w:hAnsi="Garamond"/>
              <w:b/>
              <w:bCs/>
              <w:i/>
              <w:iCs/>
              <w:sz w:val="28"/>
              <w:szCs w:val="28"/>
            </w:rPr>
          </w:pPr>
        </w:p>
      </w:tc>
      <w:tc>
        <w:tcPr>
          <w:tcW w:w="3210" w:type="dxa"/>
        </w:tcPr>
        <w:p w14:paraId="1DD8DB94" w14:textId="682477E2" w:rsidR="0053753A" w:rsidRDefault="0053753A" w:rsidP="0064259A">
          <w:pPr>
            <w:pStyle w:val="Header"/>
            <w:tabs>
              <w:tab w:val="clear" w:pos="9072"/>
              <w:tab w:val="right" w:pos="9639"/>
            </w:tabs>
            <w:ind w:right="1"/>
            <w:rPr>
              <w:rFonts w:ascii="Garamond" w:hAnsi="Garamond"/>
              <w:b/>
              <w:bCs/>
              <w:i/>
              <w:iCs/>
              <w:sz w:val="28"/>
              <w:szCs w:val="28"/>
            </w:rPr>
          </w:pPr>
          <w:r w:rsidRPr="0064259A">
            <w:rPr>
              <w:rFonts w:ascii="Garamond" w:hAnsi="Garamond"/>
              <w:b/>
              <w:bCs/>
              <w:i/>
              <w:iCs/>
              <w:noProof/>
              <w:sz w:val="28"/>
              <w:szCs w:val="28"/>
            </w:rPr>
            <w:drawing>
              <wp:anchor distT="0" distB="0" distL="114300" distR="114300" simplePos="0" relativeHeight="251659264" behindDoc="1" locked="0" layoutInCell="1" allowOverlap="1" wp14:anchorId="4244A55F" wp14:editId="4B63D3E7">
                <wp:simplePos x="0" y="0"/>
                <wp:positionH relativeFrom="column">
                  <wp:posOffset>256540</wp:posOffset>
                </wp:positionH>
                <wp:positionV relativeFrom="paragraph">
                  <wp:posOffset>0</wp:posOffset>
                </wp:positionV>
                <wp:extent cx="1447800" cy="1447800"/>
                <wp:effectExtent l="0" t="0" r="0" b="0"/>
                <wp:wrapTight wrapText="bothSides">
                  <wp:wrapPolygon edited="0">
                    <wp:start x="7958" y="0"/>
                    <wp:lineTo x="3411" y="2558"/>
                    <wp:lineTo x="1421" y="3979"/>
                    <wp:lineTo x="1137" y="9663"/>
                    <wp:lineTo x="1989" y="14211"/>
                    <wp:lineTo x="2274" y="15347"/>
                    <wp:lineTo x="3695" y="18758"/>
                    <wp:lineTo x="7674" y="20747"/>
                    <wp:lineTo x="8242" y="21316"/>
                    <wp:lineTo x="13074" y="21316"/>
                    <wp:lineTo x="17337" y="18758"/>
                    <wp:lineTo x="19611" y="14211"/>
                    <wp:lineTo x="19611" y="11084"/>
                    <wp:lineTo x="19326" y="8526"/>
                    <wp:lineTo x="13358" y="5400"/>
                    <wp:lineTo x="11084" y="5116"/>
                    <wp:lineTo x="10516" y="3126"/>
                    <wp:lineTo x="9379" y="0"/>
                    <wp:lineTo x="7958" y="0"/>
                  </wp:wrapPolygon>
                </wp:wrapTight>
                <wp:docPr id="1560676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71210" name="Picture 993771210"/>
                        <pic:cNvPicPr/>
                      </pic:nvPicPr>
                      <pic:blipFill>
                        <a:blip r:embed="rId1">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p>
      </w:tc>
      <w:tc>
        <w:tcPr>
          <w:tcW w:w="3210" w:type="dxa"/>
        </w:tcPr>
        <w:p w14:paraId="1F09CA17" w14:textId="77777777" w:rsidR="0053753A" w:rsidRDefault="0053753A" w:rsidP="0064259A">
          <w:pPr>
            <w:pStyle w:val="Header"/>
            <w:tabs>
              <w:tab w:val="clear" w:pos="9072"/>
              <w:tab w:val="right" w:pos="9639"/>
            </w:tabs>
            <w:ind w:right="1"/>
            <w:rPr>
              <w:rFonts w:ascii="Garamond" w:hAnsi="Garamond"/>
            </w:rPr>
          </w:pPr>
        </w:p>
        <w:p w14:paraId="23E3ED5B" w14:textId="77777777" w:rsidR="0053753A" w:rsidRDefault="0053753A" w:rsidP="0064259A">
          <w:pPr>
            <w:pStyle w:val="Header"/>
            <w:tabs>
              <w:tab w:val="clear" w:pos="9072"/>
              <w:tab w:val="right" w:pos="9639"/>
            </w:tabs>
            <w:ind w:right="1"/>
            <w:rPr>
              <w:rFonts w:ascii="Garamond" w:hAnsi="Garamond"/>
            </w:rPr>
          </w:pPr>
        </w:p>
        <w:p w14:paraId="25A67273" w14:textId="239C9FE7" w:rsidR="0053753A" w:rsidRDefault="0053753A" w:rsidP="0064259A">
          <w:pPr>
            <w:pStyle w:val="Header"/>
            <w:tabs>
              <w:tab w:val="clear" w:pos="9072"/>
              <w:tab w:val="right" w:pos="9639"/>
            </w:tabs>
            <w:ind w:right="1"/>
            <w:rPr>
              <w:rFonts w:ascii="Garamond" w:hAnsi="Garamond"/>
            </w:rPr>
          </w:pPr>
          <w:r w:rsidRPr="0064259A">
            <w:rPr>
              <w:rFonts w:ascii="Garamond" w:hAnsi="Garamond"/>
            </w:rPr>
            <w:t>Изх.№</w:t>
          </w:r>
          <w:r w:rsidR="00020B0E">
            <w:rPr>
              <w:rFonts w:ascii="Garamond" w:hAnsi="Garamond"/>
            </w:rPr>
            <w:t xml:space="preserve"> 5</w:t>
          </w:r>
        </w:p>
        <w:p w14:paraId="3CEFD2DC" w14:textId="77777777" w:rsidR="00020B0E" w:rsidRDefault="00020B0E" w:rsidP="0064259A">
          <w:pPr>
            <w:pStyle w:val="Header"/>
            <w:tabs>
              <w:tab w:val="clear" w:pos="9072"/>
              <w:tab w:val="right" w:pos="9639"/>
            </w:tabs>
            <w:ind w:right="1"/>
            <w:rPr>
              <w:rFonts w:ascii="Garamond" w:hAnsi="Garamond"/>
            </w:rPr>
          </w:pPr>
        </w:p>
        <w:p w14:paraId="689449E7" w14:textId="77777777" w:rsidR="0053753A" w:rsidRDefault="0053753A" w:rsidP="0064259A">
          <w:pPr>
            <w:pStyle w:val="Header"/>
            <w:tabs>
              <w:tab w:val="clear" w:pos="9072"/>
              <w:tab w:val="right" w:pos="9639"/>
            </w:tabs>
            <w:ind w:right="1"/>
            <w:rPr>
              <w:rFonts w:ascii="Garamond" w:hAnsi="Garamond"/>
            </w:rPr>
          </w:pPr>
        </w:p>
        <w:p w14:paraId="236C6C1F" w14:textId="59FA633F" w:rsidR="0053753A" w:rsidRDefault="0053753A" w:rsidP="0064259A">
          <w:pPr>
            <w:pStyle w:val="Header"/>
            <w:tabs>
              <w:tab w:val="clear" w:pos="9072"/>
              <w:tab w:val="right" w:pos="9639"/>
            </w:tabs>
            <w:ind w:right="1"/>
            <w:rPr>
              <w:rFonts w:ascii="Garamond" w:hAnsi="Garamond"/>
              <w:b/>
              <w:bCs/>
              <w:i/>
              <w:iCs/>
              <w:sz w:val="28"/>
              <w:szCs w:val="28"/>
            </w:rPr>
          </w:pPr>
          <w:r w:rsidRPr="0064259A">
            <w:rPr>
              <w:rFonts w:ascii="Garamond" w:hAnsi="Garamond"/>
            </w:rPr>
            <w:t>Дата:</w:t>
          </w:r>
          <w:r w:rsidR="00020B0E">
            <w:rPr>
              <w:rFonts w:ascii="Garamond" w:hAnsi="Garamond"/>
            </w:rPr>
            <w:t xml:space="preserve"> 31.07.2024 г.</w:t>
          </w:r>
        </w:p>
      </w:tc>
    </w:tr>
  </w:tbl>
  <w:p w14:paraId="5BE08477" w14:textId="2D5F5ADD" w:rsidR="009B5BF5" w:rsidRPr="0064259A" w:rsidRDefault="009B5BF5">
    <w:pPr>
      <w:pStyle w:val="Header"/>
      <w:rPr>
        <w:rFonts w:ascii="Garamond" w:hAnsi="Garamond"/>
      </w:rPr>
    </w:pPr>
    <w:r w:rsidRPr="0064259A">
      <w:rPr>
        <w:rFonts w:ascii="Garamond" w:hAnsi="Garamond"/>
      </w:rPr>
      <w:t>_______________________________________________________________________________________</w:t>
    </w:r>
  </w:p>
  <w:p w14:paraId="5F863065" w14:textId="7CB19C06" w:rsidR="009B5BF5" w:rsidRPr="0064259A" w:rsidRDefault="009B5BF5">
    <w:pPr>
      <w:pStyle w:val="Header"/>
      <w:rPr>
        <w:rFonts w:ascii="Garamond" w:hAnsi="Garamond"/>
        <w:lang w:val="en-US"/>
      </w:rPr>
    </w:pPr>
    <w:r w:rsidRPr="0064259A">
      <w:rPr>
        <w:rFonts w:ascii="Garamond" w:hAnsi="Garamond"/>
      </w:rPr>
      <w:t>1000, гр. София, бул. Дондуков 57А, ет. 2, офис 6</w:t>
    </w:r>
    <w:r w:rsidRPr="0064259A">
      <w:rPr>
        <w:rFonts w:ascii="Garamond" w:hAnsi="Garamond"/>
        <w:lang w:val="en-US"/>
      </w:rPr>
      <w:t>;</w:t>
    </w:r>
    <w:r w:rsidRPr="0064259A">
      <w:rPr>
        <w:rFonts w:ascii="Garamond" w:hAnsi="Garamond"/>
      </w:rPr>
      <w:t xml:space="preserve"> </w:t>
    </w:r>
    <w:r w:rsidR="0064259A">
      <w:rPr>
        <w:rFonts w:ascii="Garamond" w:hAnsi="Garamond"/>
      </w:rPr>
      <w:tab/>
      <w:t xml:space="preserve">             </w:t>
    </w:r>
    <w:r w:rsidRPr="0064259A">
      <w:rPr>
        <w:rFonts w:ascii="Garamond" w:hAnsi="Garamond"/>
        <w:lang w:val="en-US"/>
      </w:rPr>
      <w:t>www.nabo.bg; office@nabo.bg; +359 878 287 705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B"/>
    <w:rsid w:val="00020B0E"/>
    <w:rsid w:val="000D7B07"/>
    <w:rsid w:val="001955DE"/>
    <w:rsid w:val="00197DC6"/>
    <w:rsid w:val="001D6786"/>
    <w:rsid w:val="002D4D8F"/>
    <w:rsid w:val="00327CAB"/>
    <w:rsid w:val="00342AB1"/>
    <w:rsid w:val="00366214"/>
    <w:rsid w:val="003F1CB1"/>
    <w:rsid w:val="00400989"/>
    <w:rsid w:val="004B48FF"/>
    <w:rsid w:val="004B4FA5"/>
    <w:rsid w:val="004D45BA"/>
    <w:rsid w:val="004F77D2"/>
    <w:rsid w:val="005323CD"/>
    <w:rsid w:val="0053753A"/>
    <w:rsid w:val="00564B32"/>
    <w:rsid w:val="005A72A4"/>
    <w:rsid w:val="005D54A9"/>
    <w:rsid w:val="005D618E"/>
    <w:rsid w:val="005D697A"/>
    <w:rsid w:val="00631FCF"/>
    <w:rsid w:val="0064259A"/>
    <w:rsid w:val="007C1B8D"/>
    <w:rsid w:val="00881C36"/>
    <w:rsid w:val="00886CBF"/>
    <w:rsid w:val="008A482E"/>
    <w:rsid w:val="009B5BF5"/>
    <w:rsid w:val="009D3893"/>
    <w:rsid w:val="00A9322C"/>
    <w:rsid w:val="00AB2F3E"/>
    <w:rsid w:val="00AD50CB"/>
    <w:rsid w:val="00AF1069"/>
    <w:rsid w:val="00BE3728"/>
    <w:rsid w:val="00C57429"/>
    <w:rsid w:val="00CB7AC4"/>
    <w:rsid w:val="00D513CB"/>
    <w:rsid w:val="00D52DBC"/>
    <w:rsid w:val="00DC3F1D"/>
    <w:rsid w:val="00DD2F3C"/>
    <w:rsid w:val="00DD3F1D"/>
    <w:rsid w:val="00F22C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3E735"/>
  <w15:chartTrackingRefBased/>
  <w15:docId w15:val="{63FF7B45-8BB2-4EE7-BBC0-DE8975A7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A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F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1FCF"/>
  </w:style>
  <w:style w:type="paragraph" w:styleId="Footer">
    <w:name w:val="footer"/>
    <w:basedOn w:val="Normal"/>
    <w:link w:val="FooterChar"/>
    <w:uiPriority w:val="99"/>
    <w:unhideWhenUsed/>
    <w:rsid w:val="00631F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1FCF"/>
  </w:style>
  <w:style w:type="table" w:styleId="TableGrid">
    <w:name w:val="Table Grid"/>
    <w:basedOn w:val="TableNormal"/>
    <w:uiPriority w:val="39"/>
    <w:rsid w:val="00631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66214"/>
    <w:rPr>
      <w:color w:val="666666"/>
    </w:rPr>
  </w:style>
  <w:style w:type="character" w:styleId="Hyperlink">
    <w:name w:val="Hyperlink"/>
    <w:basedOn w:val="DefaultParagraphFont"/>
    <w:uiPriority w:val="99"/>
    <w:unhideWhenUsed/>
    <w:rsid w:val="009B5BF5"/>
    <w:rPr>
      <w:color w:val="0563C1" w:themeColor="hyperlink"/>
      <w:u w:val="single"/>
    </w:rPr>
  </w:style>
  <w:style w:type="character" w:styleId="UnresolvedMention">
    <w:name w:val="Unresolved Mention"/>
    <w:basedOn w:val="DefaultParagraphFont"/>
    <w:uiPriority w:val="99"/>
    <w:semiHidden/>
    <w:unhideWhenUsed/>
    <w:rsid w:val="009B5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75212740-B610-45A0-822D-69ECBACC5FE1}"/>
      </w:docPartPr>
      <w:docPartBody>
        <w:p w:rsidR="00C60E2C" w:rsidRDefault="00495A23">
          <w:r w:rsidRPr="00683AD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23"/>
    <w:rsid w:val="000D7B07"/>
    <w:rsid w:val="00197DC6"/>
    <w:rsid w:val="001D6786"/>
    <w:rsid w:val="0029518C"/>
    <w:rsid w:val="002E2B26"/>
    <w:rsid w:val="00495A23"/>
    <w:rsid w:val="004C009D"/>
    <w:rsid w:val="005323CD"/>
    <w:rsid w:val="005D618E"/>
    <w:rsid w:val="00675680"/>
    <w:rsid w:val="00753961"/>
    <w:rsid w:val="00AB2F3E"/>
    <w:rsid w:val="00C60E2C"/>
    <w:rsid w:val="00E25FC7"/>
    <w:rsid w:val="00FE24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bg-BG" w:eastAsia="bg-B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5A2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663DE-E925-4883-836F-AEA1E875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Качулев</dc:creator>
  <cp:keywords/>
  <dc:description/>
  <cp:lastModifiedBy>Константин Качулев</cp:lastModifiedBy>
  <cp:revision>4</cp:revision>
  <dcterms:created xsi:type="dcterms:W3CDTF">2024-06-18T14:28:00Z</dcterms:created>
  <dcterms:modified xsi:type="dcterms:W3CDTF">2024-07-31T05:50:00Z</dcterms:modified>
</cp:coreProperties>
</file>